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468E" w14:textId="77777777" w:rsidR="004D2743" w:rsidRDefault="00E701D7">
      <w:pPr>
        <w:pStyle w:val="1"/>
      </w:pPr>
      <w:r>
        <w:rPr>
          <w:spacing w:val="-3"/>
        </w:rPr>
        <w:t>國立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北藝術大學零用金借支單</w:t>
      </w:r>
    </w:p>
    <w:p w14:paraId="3112932C" w14:textId="77777777" w:rsidR="004D2743" w:rsidRDefault="00E701D7">
      <w:pPr>
        <w:pStyle w:val="2"/>
        <w:tabs>
          <w:tab w:val="left" w:pos="4260"/>
          <w:tab w:val="left" w:pos="5100"/>
          <w:tab w:val="left" w:pos="6641"/>
        </w:tabs>
        <w:spacing w:before="7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tab/>
      </w:r>
      <w:r>
        <w:rPr>
          <w:spacing w:val="-2"/>
        </w:rPr>
        <w:t>預借編號</w:t>
      </w:r>
      <w:r>
        <w:rPr>
          <w:spacing w:val="-10"/>
        </w:rPr>
        <w:t>：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7116"/>
      </w:tblGrid>
      <w:tr w:rsidR="004D2743" w14:paraId="3E5E50FD" w14:textId="77777777">
        <w:trPr>
          <w:trHeight w:val="522"/>
        </w:trPr>
        <w:tc>
          <w:tcPr>
            <w:tcW w:w="9178" w:type="dxa"/>
            <w:gridSpan w:val="2"/>
          </w:tcPr>
          <w:p w14:paraId="30A4D3CE" w14:textId="77777777" w:rsidR="004D2743" w:rsidRDefault="00E701D7">
            <w:pPr>
              <w:pStyle w:val="TableParagraph"/>
              <w:tabs>
                <w:tab w:val="left" w:pos="2388"/>
                <w:tab w:val="left" w:pos="4770"/>
              </w:tabs>
              <w:spacing w:before="9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借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人</w:t>
            </w:r>
          </w:p>
        </w:tc>
      </w:tr>
      <w:tr w:rsidR="004D2743" w14:paraId="39EDDA3D" w14:textId="77777777">
        <w:trPr>
          <w:trHeight w:val="757"/>
        </w:trPr>
        <w:tc>
          <w:tcPr>
            <w:tcW w:w="2062" w:type="dxa"/>
          </w:tcPr>
          <w:p w14:paraId="4355DADE" w14:textId="77777777" w:rsidR="004D2743" w:rsidRDefault="00E701D7">
            <w:pPr>
              <w:pStyle w:val="TableParagraph"/>
              <w:tabs>
                <w:tab w:val="left" w:pos="700"/>
              </w:tabs>
              <w:spacing w:before="208"/>
              <w:ind w:right="52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7116" w:type="dxa"/>
          </w:tcPr>
          <w:p w14:paraId="4FBA5223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743" w14:paraId="2AB9C47D" w14:textId="77777777">
        <w:trPr>
          <w:trHeight w:val="1247"/>
        </w:trPr>
        <w:tc>
          <w:tcPr>
            <w:tcW w:w="2062" w:type="dxa"/>
          </w:tcPr>
          <w:p w14:paraId="74DA219C" w14:textId="77777777" w:rsidR="004D2743" w:rsidRDefault="004D2743">
            <w:pPr>
              <w:pStyle w:val="TableParagraph"/>
              <w:spacing w:before="61"/>
              <w:rPr>
                <w:sz w:val="28"/>
              </w:rPr>
            </w:pPr>
          </w:p>
          <w:p w14:paraId="6F485A80" w14:textId="77777777" w:rsidR="004D2743" w:rsidRDefault="00E701D7">
            <w:pPr>
              <w:pStyle w:val="TableParagraph"/>
              <w:ind w:right="456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支出事由</w:t>
            </w:r>
          </w:p>
        </w:tc>
        <w:tc>
          <w:tcPr>
            <w:tcW w:w="7116" w:type="dxa"/>
          </w:tcPr>
          <w:p w14:paraId="45C4D204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743" w14:paraId="2CA65E75" w14:textId="77777777">
        <w:trPr>
          <w:trHeight w:val="1020"/>
        </w:trPr>
        <w:tc>
          <w:tcPr>
            <w:tcW w:w="2062" w:type="dxa"/>
          </w:tcPr>
          <w:p w14:paraId="33B3AB81" w14:textId="77777777" w:rsidR="004D2743" w:rsidRDefault="00E701D7">
            <w:pPr>
              <w:pStyle w:val="TableParagraph"/>
              <w:spacing w:before="340"/>
              <w:ind w:right="460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核銷日期</w:t>
            </w:r>
          </w:p>
        </w:tc>
        <w:tc>
          <w:tcPr>
            <w:tcW w:w="7116" w:type="dxa"/>
          </w:tcPr>
          <w:p w14:paraId="0EC74144" w14:textId="77777777" w:rsidR="004D2743" w:rsidRDefault="00E701D7">
            <w:pPr>
              <w:pStyle w:val="TableParagraph"/>
              <w:spacing w:line="352" w:lineRule="exact"/>
              <w:ind w:left="28"/>
              <w:rPr>
                <w:sz w:val="26"/>
              </w:rPr>
            </w:pPr>
            <w:r>
              <w:rPr>
                <w:spacing w:val="-17"/>
                <w:sz w:val="26"/>
              </w:rPr>
              <w:t>□</w:t>
            </w:r>
            <w:r>
              <w:rPr>
                <w:spacing w:val="-17"/>
                <w:sz w:val="26"/>
              </w:rPr>
              <w:t>可於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>日內檢據核銷。</w:t>
            </w:r>
          </w:p>
          <w:p w14:paraId="0D1F9989" w14:textId="77777777" w:rsidR="004D2743" w:rsidRDefault="00E701D7">
            <w:pPr>
              <w:pStyle w:val="TableParagraph"/>
              <w:tabs>
                <w:tab w:val="left" w:pos="4632"/>
                <w:tab w:val="left" w:pos="5409"/>
                <w:tab w:val="left" w:pos="6190"/>
              </w:tabs>
              <w:spacing w:line="341" w:lineRule="exact"/>
              <w:ind w:left="28"/>
              <w:rPr>
                <w:sz w:val="26"/>
              </w:rPr>
            </w:pPr>
            <w:r>
              <w:rPr>
                <w:spacing w:val="-8"/>
                <w:sz w:val="26"/>
              </w:rPr>
              <w:t>□</w:t>
            </w:r>
            <w:r>
              <w:rPr>
                <w:spacing w:val="-8"/>
                <w:sz w:val="26"/>
              </w:rPr>
              <w:t>無法於</w:t>
            </w:r>
            <w:r>
              <w:rPr>
                <w:spacing w:val="-6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3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日內檢據核銷，請准</w:t>
            </w:r>
            <w:r>
              <w:rPr>
                <w:spacing w:val="-10"/>
                <w:sz w:val="26"/>
              </w:rPr>
              <w:t>予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日前</w:t>
            </w:r>
            <w:r>
              <w:rPr>
                <w:spacing w:val="-10"/>
                <w:sz w:val="26"/>
              </w:rPr>
              <w:t>辦</w:t>
            </w:r>
          </w:p>
          <w:p w14:paraId="1051C95B" w14:textId="77777777" w:rsidR="004D2743" w:rsidRDefault="00E701D7">
            <w:pPr>
              <w:pStyle w:val="TableParagraph"/>
              <w:spacing w:line="307" w:lineRule="exact"/>
              <w:ind w:left="287"/>
              <w:rPr>
                <w:sz w:val="26"/>
              </w:rPr>
            </w:pPr>
            <w:r>
              <w:rPr>
                <w:spacing w:val="-7"/>
                <w:sz w:val="26"/>
              </w:rPr>
              <w:t>理。</w:t>
            </w:r>
          </w:p>
        </w:tc>
      </w:tr>
      <w:tr w:rsidR="004D2743" w14:paraId="0B7B4530" w14:textId="77777777">
        <w:trPr>
          <w:trHeight w:val="890"/>
        </w:trPr>
        <w:tc>
          <w:tcPr>
            <w:tcW w:w="2062" w:type="dxa"/>
          </w:tcPr>
          <w:p w14:paraId="05828367" w14:textId="77777777" w:rsidR="004D2743" w:rsidRDefault="00E701D7">
            <w:pPr>
              <w:pStyle w:val="TableParagraph"/>
              <w:spacing w:before="273"/>
              <w:ind w:right="51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借支金額</w:t>
            </w:r>
          </w:p>
        </w:tc>
        <w:tc>
          <w:tcPr>
            <w:tcW w:w="7116" w:type="dxa"/>
          </w:tcPr>
          <w:p w14:paraId="7AF7B22C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19F804" w14:textId="77777777" w:rsidR="004D2743" w:rsidRPr="00E701D7" w:rsidRDefault="00E701D7" w:rsidP="00E701D7">
      <w:pPr>
        <w:spacing w:before="8"/>
        <w:ind w:left="1077" w:right="193" w:hanging="944"/>
        <w:jc w:val="both"/>
        <w:rPr>
          <w:rFonts w:ascii="Malgun Gothic" w:eastAsia="Malgun Gothic"/>
          <w:b/>
          <w:sz w:val="20"/>
          <w:szCs w:val="20"/>
        </w:rPr>
      </w:pPr>
      <w:r w:rsidRPr="00E701D7">
        <w:rPr>
          <w:spacing w:val="-2"/>
          <w:sz w:val="20"/>
          <w:szCs w:val="20"/>
        </w:rPr>
        <w:t>備註：</w:t>
      </w:r>
      <w:r w:rsidRPr="00E701D7">
        <w:rPr>
          <w:rFonts w:ascii="Times New Roman" w:eastAsia="Times New Roman"/>
          <w:spacing w:val="-2"/>
          <w:sz w:val="20"/>
          <w:szCs w:val="20"/>
        </w:rPr>
        <w:t>1.</w:t>
      </w:r>
      <w:r w:rsidRPr="00E701D7">
        <w:rPr>
          <w:spacing w:val="-2"/>
          <w:sz w:val="20"/>
          <w:szCs w:val="20"/>
        </w:rPr>
        <w:t>限</w:t>
      </w:r>
      <w:r w:rsidRPr="00E701D7">
        <w:rPr>
          <w:spacing w:val="-2"/>
          <w:sz w:val="20"/>
          <w:szCs w:val="20"/>
          <w:u w:val="single"/>
        </w:rPr>
        <w:t>未達一萬元</w:t>
      </w:r>
      <w:r w:rsidRPr="00E701D7">
        <w:rPr>
          <w:spacing w:val="-2"/>
          <w:sz w:val="20"/>
          <w:szCs w:val="20"/>
        </w:rPr>
        <w:t>借支使用；請於</w:t>
      </w:r>
      <w:r w:rsidRPr="00E701D7">
        <w:rPr>
          <w:color w:val="000080"/>
          <w:spacing w:val="-2"/>
          <w:sz w:val="20"/>
          <w:szCs w:val="20"/>
        </w:rPr>
        <w:t>三日前</w:t>
      </w:r>
      <w:r w:rsidRPr="00E701D7">
        <w:rPr>
          <w:spacing w:val="-2"/>
          <w:sz w:val="20"/>
          <w:szCs w:val="20"/>
        </w:rPr>
        <w:t>事先聯繫出納組，</w:t>
      </w:r>
      <w:proofErr w:type="gramStart"/>
      <w:r w:rsidRPr="00E701D7">
        <w:rPr>
          <w:spacing w:val="-2"/>
          <w:sz w:val="20"/>
          <w:szCs w:val="20"/>
        </w:rPr>
        <w:t>以利控管</w:t>
      </w:r>
      <w:proofErr w:type="gramEnd"/>
      <w:r w:rsidRPr="00E701D7">
        <w:rPr>
          <w:spacing w:val="-2"/>
          <w:sz w:val="20"/>
          <w:szCs w:val="20"/>
        </w:rPr>
        <w:t>及備妥預借款，</w:t>
      </w:r>
      <w:r w:rsidRPr="00E701D7">
        <w:rPr>
          <w:rFonts w:ascii="Malgun Gothic" w:eastAsia="Malgun Gothic"/>
          <w:b/>
          <w:spacing w:val="-2"/>
          <w:sz w:val="20"/>
          <w:szCs w:val="20"/>
        </w:rPr>
        <w:t>各單位應自借款當日起於</w:t>
      </w:r>
      <w:r w:rsidRPr="00E701D7">
        <w:rPr>
          <w:rFonts w:ascii="Malgun Gothic" w:eastAsia="Malgun Gothic"/>
          <w:b/>
          <w:color w:val="000080"/>
          <w:spacing w:val="-2"/>
          <w:sz w:val="20"/>
          <w:szCs w:val="20"/>
          <w:u w:val="single" w:color="000080"/>
        </w:rPr>
        <w:t>三日內</w:t>
      </w:r>
      <w:r w:rsidRPr="00E701D7">
        <w:rPr>
          <w:rFonts w:ascii="Malgun Gothic" w:eastAsia="Malgun Gothic"/>
          <w:b/>
          <w:spacing w:val="-2"/>
          <w:sz w:val="20"/>
          <w:szCs w:val="20"/>
        </w:rPr>
        <w:t>辦理核銷</w:t>
      </w:r>
      <w:r w:rsidRPr="00E701D7">
        <w:rPr>
          <w:spacing w:val="-2"/>
          <w:sz w:val="20"/>
          <w:szCs w:val="20"/>
        </w:rPr>
        <w:t>，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若情況特殊無法依限核銷，應敍明具體事由並訂</w:t>
      </w:r>
      <w:r w:rsidRPr="00E701D7">
        <w:rPr>
          <w:rFonts w:ascii="Malgun Gothic" w:eastAsia="Malgun Gothic"/>
          <w:b/>
          <w:spacing w:val="40"/>
          <w:sz w:val="20"/>
          <w:szCs w:val="20"/>
          <w:u w:val="single"/>
        </w:rPr>
        <w:t xml:space="preserve"> 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定核銷期限</w:t>
      </w:r>
      <w:r w:rsidRPr="00E701D7">
        <w:rPr>
          <w:rFonts w:ascii="Times New Roman" w:eastAsia="Times New Roman"/>
          <w:b/>
          <w:spacing w:val="-2"/>
          <w:sz w:val="20"/>
          <w:szCs w:val="20"/>
          <w:u w:val="single"/>
        </w:rPr>
        <w:t>,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並依所定日期辦理。</w:t>
      </w:r>
    </w:p>
    <w:p w14:paraId="664C600E" w14:textId="77777777" w:rsidR="004D2743" w:rsidRPr="00E701D7" w:rsidRDefault="00E701D7" w:rsidP="00E701D7">
      <w:pPr>
        <w:pStyle w:val="a3"/>
        <w:rPr>
          <w:sz w:val="20"/>
          <w:szCs w:val="20"/>
        </w:rPr>
      </w:pPr>
      <w:r w:rsidRPr="00E701D7">
        <w:rPr>
          <w:rFonts w:ascii="Times New Roman" w:eastAsia="Times New Roman"/>
          <w:spacing w:val="-2"/>
          <w:sz w:val="20"/>
          <w:szCs w:val="20"/>
        </w:rPr>
        <w:t>2.</w:t>
      </w:r>
      <w:r w:rsidRPr="00E701D7">
        <w:rPr>
          <w:spacing w:val="-2"/>
          <w:sz w:val="20"/>
          <w:szCs w:val="20"/>
        </w:rPr>
        <w:t>核銷時受款人指定為本校零用金管理人</w:t>
      </w:r>
      <w:r w:rsidRPr="00E701D7">
        <w:rPr>
          <w:color w:val="000080"/>
          <w:spacing w:val="-2"/>
          <w:sz w:val="20"/>
          <w:szCs w:val="20"/>
        </w:rPr>
        <w:t>黃泰翔</w:t>
      </w:r>
      <w:r w:rsidRPr="00E701D7">
        <w:rPr>
          <w:spacing w:val="-2"/>
          <w:sz w:val="20"/>
          <w:szCs w:val="20"/>
        </w:rPr>
        <w:t>；如前帳尚未核銷於零用金調度整體考量，出納組得另行評估預借額度（本單乙式兩聯，由借款單位及出納組各留存乙份備</w:t>
      </w:r>
      <w:r w:rsidRPr="00E701D7">
        <w:rPr>
          <w:spacing w:val="-6"/>
          <w:sz w:val="20"/>
          <w:szCs w:val="20"/>
        </w:rPr>
        <w:t>查</w:t>
      </w:r>
      <w:r w:rsidRPr="00E701D7">
        <w:rPr>
          <w:spacing w:val="-111"/>
          <w:sz w:val="20"/>
          <w:szCs w:val="20"/>
        </w:rPr>
        <w:t>）</w:t>
      </w:r>
      <w:r w:rsidRPr="00E701D7">
        <w:rPr>
          <w:spacing w:val="-6"/>
          <w:sz w:val="20"/>
          <w:szCs w:val="20"/>
        </w:rPr>
        <w:t>。</w:t>
      </w:r>
    </w:p>
    <w:p w14:paraId="1B0DF88B" w14:textId="77777777" w:rsidR="004D2743" w:rsidRDefault="00E701D7">
      <w:pPr>
        <w:tabs>
          <w:tab w:val="left" w:pos="5239"/>
        </w:tabs>
        <w:spacing w:before="52"/>
        <w:ind w:left="336"/>
        <w:rPr>
          <w:rFonts w:ascii="Malgun Gothic" w:eastAsia="Malgun Gothic"/>
          <w:b/>
          <w:sz w:val="28"/>
        </w:rPr>
      </w:pPr>
      <w:r>
        <w:rPr>
          <w:rFonts w:ascii="Malgun Gothic" w:eastAsia="Malgun Gothic"/>
          <w:b/>
          <w:spacing w:val="-2"/>
          <w:sz w:val="28"/>
        </w:rPr>
        <w:t>借款單位主管</w:t>
      </w:r>
      <w:r>
        <w:rPr>
          <w:rFonts w:ascii="Malgun Gothic" w:eastAsia="Malgun Gothic"/>
          <w:b/>
          <w:spacing w:val="-10"/>
          <w:sz w:val="28"/>
        </w:rPr>
        <w:t>：</w:t>
      </w:r>
      <w:r>
        <w:rPr>
          <w:rFonts w:ascii="Malgun Gothic" w:eastAsia="Malgun Gothic"/>
          <w:b/>
          <w:sz w:val="28"/>
        </w:rPr>
        <w:tab/>
      </w:r>
      <w:r>
        <w:rPr>
          <w:rFonts w:ascii="Malgun Gothic" w:eastAsia="Malgun Gothic"/>
          <w:b/>
          <w:sz w:val="28"/>
        </w:rPr>
        <w:t>出納組</w:t>
      </w:r>
      <w:r>
        <w:rPr>
          <w:rFonts w:ascii="Malgun Gothic" w:eastAsia="Malgun Gothic"/>
          <w:b/>
          <w:spacing w:val="-10"/>
          <w:sz w:val="28"/>
        </w:rPr>
        <w:t>：</w:t>
      </w:r>
    </w:p>
    <w:p w14:paraId="02049EDA" w14:textId="77777777" w:rsidR="004D2743" w:rsidRDefault="00E701D7">
      <w:pPr>
        <w:pStyle w:val="1"/>
        <w:spacing w:before="350"/>
      </w:pPr>
      <w:r>
        <w:rPr>
          <w:spacing w:val="-3"/>
        </w:rPr>
        <w:t>國立</w:t>
      </w:r>
      <w:proofErr w:type="gramStart"/>
      <w:r>
        <w:rPr>
          <w:spacing w:val="-3"/>
        </w:rPr>
        <w:t>臺</w:t>
      </w:r>
      <w:proofErr w:type="gramEnd"/>
      <w:r>
        <w:rPr>
          <w:spacing w:val="-3"/>
        </w:rPr>
        <w:t>北藝術大學零用金借支單</w:t>
      </w:r>
    </w:p>
    <w:p w14:paraId="064EC713" w14:textId="77777777" w:rsidR="004D2743" w:rsidRDefault="00E701D7">
      <w:pPr>
        <w:pStyle w:val="2"/>
        <w:tabs>
          <w:tab w:val="left" w:pos="4260"/>
          <w:tab w:val="left" w:pos="5100"/>
          <w:tab w:val="left" w:pos="6641"/>
        </w:tabs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tab/>
      </w:r>
      <w:r>
        <w:rPr>
          <w:spacing w:val="-2"/>
        </w:rPr>
        <w:t>預借編號</w:t>
      </w:r>
      <w:r>
        <w:rPr>
          <w:spacing w:val="-10"/>
        </w:rPr>
        <w:t>：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7116"/>
      </w:tblGrid>
      <w:tr w:rsidR="004D2743" w14:paraId="5201476A" w14:textId="77777777">
        <w:trPr>
          <w:trHeight w:val="525"/>
        </w:trPr>
        <w:tc>
          <w:tcPr>
            <w:tcW w:w="9178" w:type="dxa"/>
            <w:gridSpan w:val="2"/>
          </w:tcPr>
          <w:p w14:paraId="1737C806" w14:textId="77777777" w:rsidR="004D2743" w:rsidRDefault="00E701D7">
            <w:pPr>
              <w:pStyle w:val="TableParagraph"/>
              <w:tabs>
                <w:tab w:val="left" w:pos="2388"/>
                <w:tab w:val="left" w:pos="4770"/>
              </w:tabs>
              <w:spacing w:before="9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借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人</w:t>
            </w:r>
          </w:p>
        </w:tc>
      </w:tr>
      <w:tr w:rsidR="004D2743" w14:paraId="2448B6C6" w14:textId="77777777">
        <w:trPr>
          <w:trHeight w:val="813"/>
        </w:trPr>
        <w:tc>
          <w:tcPr>
            <w:tcW w:w="2062" w:type="dxa"/>
          </w:tcPr>
          <w:p w14:paraId="161D95C6" w14:textId="77777777" w:rsidR="004D2743" w:rsidRDefault="00E701D7">
            <w:pPr>
              <w:pStyle w:val="TableParagraph"/>
              <w:tabs>
                <w:tab w:val="left" w:pos="700"/>
              </w:tabs>
              <w:spacing w:before="235"/>
              <w:ind w:right="52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7116" w:type="dxa"/>
          </w:tcPr>
          <w:p w14:paraId="08078A13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743" w14:paraId="78D1EC37" w14:textId="77777777">
        <w:trPr>
          <w:trHeight w:val="1247"/>
        </w:trPr>
        <w:tc>
          <w:tcPr>
            <w:tcW w:w="2062" w:type="dxa"/>
          </w:tcPr>
          <w:p w14:paraId="1498826E" w14:textId="77777777" w:rsidR="004D2743" w:rsidRDefault="004D2743">
            <w:pPr>
              <w:pStyle w:val="TableParagraph"/>
              <w:spacing w:before="61"/>
              <w:rPr>
                <w:sz w:val="28"/>
              </w:rPr>
            </w:pPr>
          </w:p>
          <w:p w14:paraId="39D067CA" w14:textId="77777777" w:rsidR="004D2743" w:rsidRDefault="00E701D7">
            <w:pPr>
              <w:pStyle w:val="TableParagraph"/>
              <w:spacing w:before="1"/>
              <w:ind w:right="456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支出事由</w:t>
            </w:r>
          </w:p>
        </w:tc>
        <w:tc>
          <w:tcPr>
            <w:tcW w:w="7116" w:type="dxa"/>
          </w:tcPr>
          <w:p w14:paraId="0B2A8235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743" w14:paraId="23D23EB2" w14:textId="77777777">
        <w:trPr>
          <w:trHeight w:val="1020"/>
        </w:trPr>
        <w:tc>
          <w:tcPr>
            <w:tcW w:w="2062" w:type="dxa"/>
          </w:tcPr>
          <w:p w14:paraId="285FE654" w14:textId="77777777" w:rsidR="004D2743" w:rsidRDefault="00E701D7">
            <w:pPr>
              <w:pStyle w:val="TableParagraph"/>
              <w:spacing w:before="341"/>
              <w:ind w:right="456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核銷日期</w:t>
            </w:r>
          </w:p>
        </w:tc>
        <w:tc>
          <w:tcPr>
            <w:tcW w:w="7116" w:type="dxa"/>
          </w:tcPr>
          <w:p w14:paraId="0213F12C" w14:textId="77777777" w:rsidR="004D2743" w:rsidRDefault="00E701D7">
            <w:pPr>
              <w:pStyle w:val="TableParagraph"/>
              <w:spacing w:before="1" w:line="352" w:lineRule="exact"/>
              <w:ind w:left="28"/>
              <w:rPr>
                <w:sz w:val="26"/>
              </w:rPr>
            </w:pPr>
            <w:r>
              <w:rPr>
                <w:spacing w:val="-17"/>
                <w:sz w:val="26"/>
              </w:rPr>
              <w:t>□</w:t>
            </w:r>
            <w:r>
              <w:rPr>
                <w:spacing w:val="-17"/>
                <w:sz w:val="26"/>
              </w:rPr>
              <w:t>可於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>日內檢據核銷。</w:t>
            </w:r>
          </w:p>
          <w:p w14:paraId="5217D17E" w14:textId="77777777" w:rsidR="004D2743" w:rsidRDefault="00E701D7">
            <w:pPr>
              <w:pStyle w:val="TableParagraph"/>
              <w:tabs>
                <w:tab w:val="left" w:pos="4632"/>
                <w:tab w:val="left" w:pos="5409"/>
                <w:tab w:val="left" w:pos="6190"/>
              </w:tabs>
              <w:spacing w:line="341" w:lineRule="exact"/>
              <w:ind w:left="28"/>
              <w:rPr>
                <w:sz w:val="26"/>
              </w:rPr>
            </w:pPr>
            <w:r>
              <w:rPr>
                <w:spacing w:val="-8"/>
                <w:sz w:val="26"/>
              </w:rPr>
              <w:t>□</w:t>
            </w:r>
            <w:r>
              <w:rPr>
                <w:spacing w:val="-8"/>
                <w:sz w:val="26"/>
              </w:rPr>
              <w:t>無法於</w:t>
            </w:r>
            <w:r>
              <w:rPr>
                <w:spacing w:val="-6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3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日內檢據核銷，請准</w:t>
            </w:r>
            <w:r>
              <w:rPr>
                <w:spacing w:val="-10"/>
                <w:sz w:val="26"/>
              </w:rPr>
              <w:t>予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日前</w:t>
            </w:r>
            <w:r>
              <w:rPr>
                <w:spacing w:val="-10"/>
                <w:sz w:val="26"/>
              </w:rPr>
              <w:t>辦</w:t>
            </w:r>
          </w:p>
          <w:p w14:paraId="76CCA491" w14:textId="77777777" w:rsidR="004D2743" w:rsidRDefault="00E701D7">
            <w:pPr>
              <w:pStyle w:val="TableParagraph"/>
              <w:spacing w:line="306" w:lineRule="exact"/>
              <w:ind w:left="287"/>
              <w:rPr>
                <w:sz w:val="26"/>
              </w:rPr>
            </w:pPr>
            <w:r>
              <w:rPr>
                <w:spacing w:val="-7"/>
                <w:sz w:val="26"/>
              </w:rPr>
              <w:t>理。</w:t>
            </w:r>
          </w:p>
        </w:tc>
      </w:tr>
      <w:tr w:rsidR="004D2743" w14:paraId="0C3E4C17" w14:textId="77777777">
        <w:trPr>
          <w:trHeight w:val="890"/>
        </w:trPr>
        <w:tc>
          <w:tcPr>
            <w:tcW w:w="2062" w:type="dxa"/>
          </w:tcPr>
          <w:p w14:paraId="53BBFB6B" w14:textId="77777777" w:rsidR="004D2743" w:rsidRDefault="00E701D7">
            <w:pPr>
              <w:pStyle w:val="TableParagraph"/>
              <w:spacing w:before="273"/>
              <w:ind w:right="51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借支金額</w:t>
            </w:r>
          </w:p>
        </w:tc>
        <w:tc>
          <w:tcPr>
            <w:tcW w:w="7116" w:type="dxa"/>
          </w:tcPr>
          <w:p w14:paraId="6DA92005" w14:textId="77777777" w:rsidR="004D2743" w:rsidRDefault="004D27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F9D3F7" w14:textId="77777777" w:rsidR="004D2743" w:rsidRPr="00E701D7" w:rsidRDefault="00E701D7" w:rsidP="00E701D7">
      <w:pPr>
        <w:spacing w:before="7"/>
        <w:ind w:left="1077" w:right="193" w:hanging="944"/>
        <w:jc w:val="both"/>
        <w:rPr>
          <w:rFonts w:ascii="Malgun Gothic" w:eastAsia="Malgun Gothic"/>
          <w:b/>
          <w:sz w:val="20"/>
          <w:szCs w:val="20"/>
        </w:rPr>
      </w:pPr>
      <w:r w:rsidRPr="00E701D7">
        <w:rPr>
          <w:spacing w:val="-2"/>
          <w:sz w:val="20"/>
          <w:szCs w:val="20"/>
        </w:rPr>
        <w:t>備註：</w:t>
      </w:r>
      <w:r w:rsidRPr="00E701D7">
        <w:rPr>
          <w:rFonts w:ascii="Times New Roman" w:eastAsia="Times New Roman"/>
          <w:spacing w:val="-2"/>
          <w:sz w:val="20"/>
          <w:szCs w:val="20"/>
        </w:rPr>
        <w:t>1.</w:t>
      </w:r>
      <w:r w:rsidRPr="00E701D7">
        <w:rPr>
          <w:spacing w:val="-2"/>
          <w:sz w:val="20"/>
          <w:szCs w:val="20"/>
        </w:rPr>
        <w:t>限</w:t>
      </w:r>
      <w:r w:rsidRPr="00E701D7">
        <w:rPr>
          <w:spacing w:val="-2"/>
          <w:sz w:val="20"/>
          <w:szCs w:val="20"/>
          <w:u w:val="single"/>
        </w:rPr>
        <w:t>未達一萬元</w:t>
      </w:r>
      <w:r w:rsidRPr="00E701D7">
        <w:rPr>
          <w:spacing w:val="-2"/>
          <w:sz w:val="20"/>
          <w:szCs w:val="20"/>
        </w:rPr>
        <w:t>借支使用；請於</w:t>
      </w:r>
      <w:r w:rsidRPr="00E701D7">
        <w:rPr>
          <w:color w:val="000080"/>
          <w:spacing w:val="-2"/>
          <w:sz w:val="20"/>
          <w:szCs w:val="20"/>
        </w:rPr>
        <w:t>三日前</w:t>
      </w:r>
      <w:r w:rsidRPr="00E701D7">
        <w:rPr>
          <w:spacing w:val="-2"/>
          <w:sz w:val="20"/>
          <w:szCs w:val="20"/>
        </w:rPr>
        <w:t>事先聯繫出納組，</w:t>
      </w:r>
      <w:proofErr w:type="gramStart"/>
      <w:r w:rsidRPr="00E701D7">
        <w:rPr>
          <w:spacing w:val="-2"/>
          <w:sz w:val="20"/>
          <w:szCs w:val="20"/>
        </w:rPr>
        <w:t>以利控管</w:t>
      </w:r>
      <w:proofErr w:type="gramEnd"/>
      <w:r w:rsidRPr="00E701D7">
        <w:rPr>
          <w:spacing w:val="-2"/>
          <w:sz w:val="20"/>
          <w:szCs w:val="20"/>
        </w:rPr>
        <w:t>及備妥預借款，</w:t>
      </w:r>
      <w:r w:rsidRPr="00E701D7">
        <w:rPr>
          <w:rFonts w:ascii="Malgun Gothic" w:eastAsia="Malgun Gothic"/>
          <w:b/>
          <w:spacing w:val="-2"/>
          <w:sz w:val="20"/>
          <w:szCs w:val="20"/>
        </w:rPr>
        <w:t>各單位應自借款當日起於</w:t>
      </w:r>
      <w:r w:rsidRPr="00E701D7">
        <w:rPr>
          <w:rFonts w:ascii="Malgun Gothic" w:eastAsia="Malgun Gothic"/>
          <w:b/>
          <w:color w:val="000080"/>
          <w:spacing w:val="-2"/>
          <w:sz w:val="20"/>
          <w:szCs w:val="20"/>
          <w:u w:val="single" w:color="000080"/>
        </w:rPr>
        <w:t>三日內</w:t>
      </w:r>
      <w:r w:rsidRPr="00E701D7">
        <w:rPr>
          <w:rFonts w:ascii="Malgun Gothic" w:eastAsia="Malgun Gothic"/>
          <w:b/>
          <w:spacing w:val="-2"/>
          <w:sz w:val="20"/>
          <w:szCs w:val="20"/>
        </w:rPr>
        <w:t>辦理核銷</w:t>
      </w:r>
      <w:r w:rsidRPr="00E701D7">
        <w:rPr>
          <w:spacing w:val="-2"/>
          <w:sz w:val="20"/>
          <w:szCs w:val="20"/>
        </w:rPr>
        <w:t>，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若情況特殊無法依限核銷，應敍明具體事由並訂</w:t>
      </w:r>
      <w:r w:rsidRPr="00E701D7">
        <w:rPr>
          <w:rFonts w:ascii="Malgun Gothic" w:eastAsia="Malgun Gothic"/>
          <w:b/>
          <w:spacing w:val="40"/>
          <w:sz w:val="20"/>
          <w:szCs w:val="20"/>
          <w:u w:val="single"/>
        </w:rPr>
        <w:t xml:space="preserve"> 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定核銷期限</w:t>
      </w:r>
      <w:r w:rsidRPr="00E701D7">
        <w:rPr>
          <w:rFonts w:ascii="Times New Roman" w:eastAsia="Times New Roman"/>
          <w:b/>
          <w:spacing w:val="-2"/>
          <w:sz w:val="20"/>
          <w:szCs w:val="20"/>
          <w:u w:val="single"/>
        </w:rPr>
        <w:t>,</w:t>
      </w:r>
      <w:r w:rsidRPr="00E701D7">
        <w:rPr>
          <w:rFonts w:ascii="Malgun Gothic" w:eastAsia="Malgun Gothic"/>
          <w:b/>
          <w:spacing w:val="-2"/>
          <w:sz w:val="20"/>
          <w:szCs w:val="20"/>
          <w:u w:val="single"/>
        </w:rPr>
        <w:t>並依所定日期辦理。</w:t>
      </w:r>
    </w:p>
    <w:p w14:paraId="27457AC1" w14:textId="77777777" w:rsidR="004D2743" w:rsidRPr="00E701D7" w:rsidRDefault="00E701D7" w:rsidP="00E701D7">
      <w:pPr>
        <w:pStyle w:val="a3"/>
        <w:rPr>
          <w:sz w:val="20"/>
          <w:szCs w:val="20"/>
        </w:rPr>
      </w:pPr>
      <w:r w:rsidRPr="00E701D7">
        <w:rPr>
          <w:rFonts w:ascii="Times New Roman" w:eastAsia="Times New Roman"/>
          <w:spacing w:val="-2"/>
          <w:sz w:val="20"/>
          <w:szCs w:val="20"/>
        </w:rPr>
        <w:t>2.</w:t>
      </w:r>
      <w:r w:rsidRPr="00E701D7">
        <w:rPr>
          <w:spacing w:val="-2"/>
          <w:sz w:val="20"/>
          <w:szCs w:val="20"/>
        </w:rPr>
        <w:t>核銷時受款人指定為本校零用金管理人</w:t>
      </w:r>
      <w:r w:rsidRPr="00E701D7">
        <w:rPr>
          <w:color w:val="000080"/>
          <w:spacing w:val="-2"/>
          <w:sz w:val="20"/>
          <w:szCs w:val="20"/>
        </w:rPr>
        <w:t>黃泰翔</w:t>
      </w:r>
      <w:r w:rsidRPr="00E701D7">
        <w:rPr>
          <w:spacing w:val="-2"/>
          <w:sz w:val="20"/>
          <w:szCs w:val="20"/>
        </w:rPr>
        <w:t>；如前帳尚未核銷於零用金調度整體考量，出納組得另行評估預借額度（本單乙式兩聯，由借款單位及出納組各留存乙份備</w:t>
      </w:r>
      <w:r w:rsidRPr="00E701D7">
        <w:rPr>
          <w:spacing w:val="-6"/>
          <w:sz w:val="20"/>
          <w:szCs w:val="20"/>
        </w:rPr>
        <w:t>查</w:t>
      </w:r>
      <w:r w:rsidRPr="00E701D7">
        <w:rPr>
          <w:spacing w:val="-111"/>
          <w:sz w:val="20"/>
          <w:szCs w:val="20"/>
        </w:rPr>
        <w:t>）</w:t>
      </w:r>
      <w:r w:rsidRPr="00E701D7">
        <w:rPr>
          <w:spacing w:val="-6"/>
          <w:sz w:val="20"/>
          <w:szCs w:val="20"/>
        </w:rPr>
        <w:t>。</w:t>
      </w:r>
    </w:p>
    <w:p w14:paraId="2F8317A7" w14:textId="77777777" w:rsidR="004D2743" w:rsidRDefault="00E701D7">
      <w:pPr>
        <w:tabs>
          <w:tab w:val="left" w:pos="4959"/>
        </w:tabs>
        <w:spacing w:line="488" w:lineRule="exact"/>
        <w:ind w:left="55"/>
        <w:rPr>
          <w:rFonts w:ascii="Malgun Gothic" w:eastAsia="Malgun Gothic"/>
          <w:b/>
          <w:sz w:val="28"/>
        </w:rPr>
      </w:pPr>
      <w:r>
        <w:rPr>
          <w:rFonts w:ascii="Malgun Gothic" w:eastAsia="Malgun Gothic"/>
          <w:b/>
          <w:sz w:val="28"/>
        </w:rPr>
        <w:t>借款單位主管</w:t>
      </w:r>
      <w:r>
        <w:rPr>
          <w:rFonts w:ascii="Malgun Gothic" w:eastAsia="Malgun Gothic"/>
          <w:b/>
          <w:spacing w:val="-10"/>
          <w:sz w:val="28"/>
        </w:rPr>
        <w:t>：</w:t>
      </w:r>
      <w:r>
        <w:rPr>
          <w:rFonts w:ascii="Malgun Gothic" w:eastAsia="Malgun Gothic"/>
          <w:b/>
          <w:sz w:val="28"/>
        </w:rPr>
        <w:tab/>
      </w:r>
      <w:r>
        <w:rPr>
          <w:rFonts w:ascii="Malgun Gothic" w:eastAsia="Malgun Gothic"/>
          <w:b/>
          <w:sz w:val="28"/>
        </w:rPr>
        <w:t>出納組</w:t>
      </w:r>
      <w:r>
        <w:rPr>
          <w:rFonts w:ascii="Malgun Gothic" w:eastAsia="Malgun Gothic"/>
          <w:b/>
          <w:spacing w:val="-10"/>
          <w:sz w:val="28"/>
        </w:rPr>
        <w:t>：</w:t>
      </w:r>
    </w:p>
    <w:sectPr w:rsidR="004D2743">
      <w:type w:val="continuous"/>
      <w:pgSz w:w="11910" w:h="16850"/>
      <w:pgMar w:top="80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743"/>
    <w:rsid w:val="004D2743"/>
    <w:rsid w:val="00E7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D7E3"/>
  <w15:docId w15:val="{80372BBC-2741-4004-BB2C-250A6AF7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before="6"/>
      <w:ind w:left="146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72"/>
      <w:ind w:left="34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40" w:right="193" w:hanging="185"/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藝 術 大 學</dc:title>
  <dc:creator>user</dc:creator>
  <cp:lastModifiedBy>出納組</cp:lastModifiedBy>
  <cp:revision>2</cp:revision>
  <dcterms:created xsi:type="dcterms:W3CDTF">2025-12-03T04:51:00Z</dcterms:created>
  <dcterms:modified xsi:type="dcterms:W3CDTF">2025-12-03T04:52:00Z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